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92" w:rsidRPr="00705792" w:rsidRDefault="00B7419D" w:rsidP="00705792">
      <w:pPr>
        <w:ind w:right="0"/>
        <w:jc w:val="center"/>
        <w:rPr>
          <w:rFonts w:eastAsia="Times New Roman" w:cs="Times New Roman"/>
          <w:b/>
          <w:sz w:val="48"/>
          <w:szCs w:val="48"/>
          <w:lang w:eastAsia="lv-LV"/>
        </w:rPr>
      </w:pPr>
      <w:bookmarkStart w:id="0" w:name="_Hlk156307352"/>
      <w:bookmarkStart w:id="1" w:name="_GoBack"/>
      <w:bookmarkEnd w:id="1"/>
      <w:r w:rsidRPr="00705792">
        <w:rPr>
          <w:rFonts w:eastAsia="Times New Roman" w:cs="Times New Roman"/>
          <w:noProof/>
          <w:szCs w:val="20"/>
          <w:lang w:eastAsia="lv-LV"/>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RDefault="00B7419D" w:rsidP="00705792">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RDefault="00B7419D" w:rsidP="00705792">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RDefault="00B7419D" w:rsidP="00705792">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RDefault="00B7419D" w:rsidP="00705792">
      <w:pPr>
        <w:ind w:right="0"/>
        <w:jc w:val="center"/>
        <w:rPr>
          <w:rFonts w:eastAsia="Times New Roman" w:cs="Times New Roman"/>
          <w:color w:val="1C1C1C"/>
          <w:sz w:val="22"/>
          <w:szCs w:val="24"/>
          <w:lang w:eastAsia="lv-LV"/>
        </w:rPr>
      </w:pPr>
      <w:hyperlink r:id="rId9" w:history="1">
        <w:r w:rsidR="00287A5C" w:rsidRPr="009154FC">
          <w:rPr>
            <w:rFonts w:eastAsia="Times New Roman" w:cs="Times New Roman"/>
            <w:color w:val="1C1C1C"/>
            <w:sz w:val="22"/>
            <w:szCs w:val="24"/>
            <w:lang w:eastAsia="lv-LV"/>
          </w:rPr>
          <w:t>www.tukums.lv</w:t>
        </w:r>
      </w:hyperlink>
      <w:r w:rsidR="00287A5C" w:rsidRPr="009154FC">
        <w:rPr>
          <w:rFonts w:eastAsia="Times New Roman" w:cs="Times New Roman"/>
          <w:color w:val="1C1C1C"/>
          <w:sz w:val="22"/>
          <w:szCs w:val="24"/>
          <w:lang w:eastAsia="lv-LV"/>
        </w:rPr>
        <w:t xml:space="preserve">      e-pasts: </w:t>
      </w:r>
      <w:hyperlink r:id="rId10" w:history="1">
        <w:r w:rsidR="009154FC" w:rsidRPr="009154FC">
          <w:rPr>
            <w:rStyle w:val="Hipersaite"/>
            <w:rFonts w:eastAsia="Times New Roman" w:cs="Times New Roman"/>
            <w:color w:val="auto"/>
            <w:sz w:val="22"/>
            <w:szCs w:val="24"/>
            <w:u w:val="none"/>
            <w:lang w:eastAsia="lv-LV"/>
          </w:rPr>
          <w:t>pasts@tukums.lv</w:t>
        </w:r>
      </w:hyperlink>
    </w:p>
    <w:bookmarkEnd w:id="0"/>
    <w:p w:rsidR="00705792" w:rsidRPr="00705792" w:rsidRDefault="00B7419D" w:rsidP="00705792">
      <w:pPr>
        <w:ind w:right="0"/>
        <w:jc w:val="left"/>
        <w:rPr>
          <w:rFonts w:eastAsia="Times New Roman" w:cs="Times New Roman"/>
          <w:sz w:val="16"/>
          <w:szCs w:val="16"/>
          <w:lang w:eastAsia="lv-LV"/>
        </w:rPr>
      </w:pPr>
      <w:r w:rsidRPr="00705792">
        <w:rPr>
          <w:rFonts w:eastAsia="Times New Roman" w:cs="Times New Roman"/>
          <w:noProof/>
          <w:szCs w:val="20"/>
          <w:lang w:eastAsia="lv-LV"/>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eastAsia="lv-LV"/>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eastAsia="lv-LV"/>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eastAsia="lv-LV"/>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RDefault="00705792" w:rsidP="00705792">
      <w:pPr>
        <w:ind w:right="0"/>
        <w:rPr>
          <w:rFonts w:eastAsia="Times New Roman" w:cs="Times New Roman"/>
          <w:b/>
          <w:szCs w:val="24"/>
          <w:lang w:eastAsia="lv-LV"/>
        </w:rPr>
      </w:pPr>
    </w:p>
    <w:p w:rsidR="00705792" w:rsidRPr="00705792" w:rsidRDefault="00B7419D" w:rsidP="00705792">
      <w:pPr>
        <w:ind w:right="0"/>
        <w:jc w:val="center"/>
        <w:rPr>
          <w:rFonts w:eastAsia="Times New Roman" w:cs="Times New Roman"/>
          <w:b/>
          <w:szCs w:val="24"/>
          <w:lang w:eastAsia="lv-LV"/>
        </w:rPr>
      </w:pPr>
      <w:r>
        <w:rPr>
          <w:rFonts w:cs="Courier New"/>
          <w:b/>
          <w:szCs w:val="24"/>
        </w:rPr>
        <w:t>LĒMUMS</w:t>
      </w:r>
    </w:p>
    <w:p w:rsidR="00705792" w:rsidRPr="00705792" w:rsidRDefault="00B7419D" w:rsidP="00705792">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RDefault="00705792" w:rsidP="00705792">
      <w:pPr>
        <w:ind w:right="0"/>
        <w:rPr>
          <w:rFonts w:eastAsia="Times New Roman" w:cs="Times New Roman"/>
          <w:b/>
          <w:szCs w:val="24"/>
          <w:lang w:eastAsia="lv-LV"/>
        </w:rPr>
      </w:pPr>
    </w:p>
    <w:p w:rsidR="00287A5C" w:rsidRDefault="00B7419D" w:rsidP="00705792">
      <w:pPr>
        <w:ind w:right="0"/>
      </w:pPr>
      <w:r w:rsidRPr="00FE5521">
        <w:rPr>
          <w:rFonts w:cs="Courier New"/>
          <w:b/>
          <w:szCs w:val="24"/>
        </w:rPr>
        <w:t>2024.</w:t>
      </w:r>
      <w:r>
        <w:rPr>
          <w:rFonts w:cs="Courier New"/>
          <w:b/>
          <w:szCs w:val="24"/>
        </w:rPr>
        <w:t> </w:t>
      </w:r>
      <w:r w:rsidRPr="00FE5521">
        <w:rPr>
          <w:rFonts w:cs="Courier New"/>
          <w:b/>
          <w:szCs w:val="24"/>
        </w:rPr>
        <w:t>gada 29.</w:t>
      </w:r>
      <w:r>
        <w:rPr>
          <w:rFonts w:cs="Courier New"/>
          <w:b/>
          <w:szCs w:val="24"/>
        </w:rPr>
        <w:t> </w:t>
      </w:r>
      <w:r w:rsidRPr="00FE5521">
        <w:rPr>
          <w:rFonts w:cs="Courier New"/>
          <w:b/>
          <w:szCs w:val="24"/>
        </w:rPr>
        <w:t>augustā</w:t>
      </w:r>
      <w:r w:rsidR="00FF0123" w:rsidRPr="006F21A1">
        <w:rPr>
          <w:rFonts w:eastAsia="Times New Roman" w:cs="Times New Roman"/>
          <w:b/>
          <w:szCs w:val="24"/>
          <w:lang w:eastAsia="lv-LV"/>
        </w:rPr>
        <w:tab/>
      </w:r>
      <w:r w:rsidR="00FF0123" w:rsidRPr="006F21A1">
        <w:rPr>
          <w:rFonts w:eastAsia="Times New Roman" w:cs="Times New Roman"/>
          <w:b/>
          <w:szCs w:val="24"/>
          <w:lang w:eastAsia="lv-LV"/>
        </w:rPr>
        <w:tab/>
      </w:r>
      <w:r w:rsidR="00FF0123" w:rsidRPr="006F21A1">
        <w:rPr>
          <w:rFonts w:eastAsia="Times New Roman" w:cs="Times New Roman"/>
          <w:b/>
          <w:szCs w:val="24"/>
          <w:lang w:eastAsia="lv-LV"/>
        </w:rPr>
        <w:tab/>
      </w:r>
      <w:r w:rsidR="00FF0123" w:rsidRPr="006F21A1">
        <w:rPr>
          <w:rFonts w:eastAsia="Times New Roman" w:cs="Times New Roman"/>
          <w:b/>
          <w:szCs w:val="24"/>
          <w:lang w:eastAsia="lv-LV"/>
        </w:rPr>
        <w:tab/>
      </w:r>
      <w:r>
        <w:rPr>
          <w:rFonts w:eastAsia="Times New Roman" w:cs="Times New Roman"/>
          <w:b/>
          <w:szCs w:val="24"/>
          <w:lang w:eastAsia="lv-LV"/>
        </w:rPr>
        <w:tab/>
      </w:r>
      <w:r w:rsidR="00FF0123" w:rsidRPr="006F21A1">
        <w:rPr>
          <w:rFonts w:eastAsia="Times New Roman" w:cs="Times New Roman"/>
          <w:b/>
          <w:szCs w:val="24"/>
          <w:lang w:eastAsia="lv-LV"/>
        </w:rPr>
        <w:tab/>
      </w:r>
      <w:r w:rsidRPr="006F21A1">
        <w:rPr>
          <w:rFonts w:eastAsia="Times New Roman" w:cs="Times New Roman"/>
          <w:b/>
          <w:szCs w:val="24"/>
          <w:lang w:eastAsia="lv-LV"/>
        </w:rPr>
        <w:t>Nr.</w:t>
      </w:r>
      <w:r>
        <w:rPr>
          <w:b/>
        </w:rPr>
        <w:t> </w:t>
      </w:r>
      <w:r w:rsidR="00122F7B" w:rsidRPr="00122F7B">
        <w:rPr>
          <w:b/>
          <w:bCs/>
        </w:rPr>
        <w:t>TND/1-1.1/24/547</w:t>
      </w:r>
      <w:r w:rsidR="00122F7B" w:rsidRPr="00817095">
        <w:t xml:space="preserve"> </w:t>
      </w:r>
    </w:p>
    <w:p w:rsidR="00705792" w:rsidRPr="006F21A1" w:rsidRDefault="00B7419D" w:rsidP="00287A5C">
      <w:pPr>
        <w:ind w:right="0"/>
        <w:jc w:val="right"/>
        <w:rPr>
          <w:rFonts w:eastAsia="Times New Roman" w:cs="Times New Roman"/>
          <w:b/>
          <w:szCs w:val="24"/>
          <w:lang w:eastAsia="lv-LV"/>
        </w:rPr>
      </w:pPr>
      <w:r w:rsidRPr="00817095">
        <w:t>(prot.</w:t>
      </w:r>
      <w:r w:rsidR="00287A5C">
        <w:t> </w:t>
      </w:r>
      <w:r w:rsidRPr="00817095">
        <w:t>Nr.</w:t>
      </w:r>
      <w:r w:rsidR="00287A5C">
        <w:t> 12, 69</w:t>
      </w:r>
      <w:r w:rsidRPr="00817095">
        <w:t>.</w:t>
      </w:r>
      <w:r w:rsidR="00287A5C">
        <w:t> </w:t>
      </w:r>
      <w:r w:rsidR="00185B84" w:rsidRPr="00335AE4">
        <w:rPr>
          <w:bCs/>
          <w:color w:val="000000"/>
          <w:szCs w:val="24"/>
        </w:rPr>
        <w:t>§</w:t>
      </w:r>
      <w:r w:rsidRPr="00817095">
        <w:t>)</w:t>
      </w:r>
    </w:p>
    <w:p w:rsidR="00705792" w:rsidRPr="00705792" w:rsidRDefault="00705792" w:rsidP="00705792">
      <w:pPr>
        <w:ind w:firstLine="720"/>
        <w:rPr>
          <w:rFonts w:eastAsia="Times New Roman" w:cs="Times New Roman"/>
          <w:szCs w:val="24"/>
          <w:lang w:eastAsia="lv-LV"/>
        </w:rPr>
      </w:pPr>
    </w:p>
    <w:p w:rsidR="00705792" w:rsidRPr="0086136F" w:rsidRDefault="00B7419D" w:rsidP="0065586E">
      <w:pPr>
        <w:ind w:right="4818"/>
        <w:jc w:val="left"/>
        <w:rPr>
          <w:b/>
          <w:szCs w:val="24"/>
        </w:rPr>
      </w:pPr>
      <w:r w:rsidRPr="0086136F">
        <w:rPr>
          <w:b/>
          <w:szCs w:val="24"/>
        </w:rPr>
        <w:t>Par izglītojamo ēdināšanas pakalpojumu izmaksām un pašvaldības līdzfinansējumu izglītojamo ēdināšanai Tukuma novada izglītības iestādēs no 2024.</w:t>
      </w:r>
      <w:r w:rsidR="00745038">
        <w:rPr>
          <w:b/>
          <w:szCs w:val="24"/>
        </w:rPr>
        <w:t> </w:t>
      </w:r>
      <w:r w:rsidRPr="0086136F">
        <w:rPr>
          <w:b/>
          <w:szCs w:val="24"/>
        </w:rPr>
        <w:t>gada 1.</w:t>
      </w:r>
      <w:r w:rsidR="00745038">
        <w:rPr>
          <w:b/>
          <w:szCs w:val="24"/>
        </w:rPr>
        <w:t> </w:t>
      </w:r>
      <w:r w:rsidRPr="0086136F">
        <w:rPr>
          <w:b/>
          <w:szCs w:val="24"/>
        </w:rPr>
        <w:t>oktobra</w:t>
      </w:r>
    </w:p>
    <w:p w:rsidR="00122F7B" w:rsidRPr="00705792" w:rsidRDefault="00122F7B" w:rsidP="0086136F">
      <w:pPr>
        <w:ind w:right="0"/>
        <w:jc w:val="left"/>
        <w:rPr>
          <w:rFonts w:eastAsia="Times New Roman" w:cs="Times New Roman"/>
          <w:szCs w:val="24"/>
          <w:lang w:eastAsia="lv-LV"/>
        </w:rPr>
      </w:pPr>
    </w:p>
    <w:p w:rsidR="00BE60D4" w:rsidRPr="00BE60D4" w:rsidRDefault="00B7419D" w:rsidP="00BE60D4">
      <w:pPr>
        <w:ind w:right="0" w:firstLine="720"/>
        <w:rPr>
          <w:rFonts w:eastAsia="Calibri" w:cs="Times New Roman"/>
        </w:rPr>
      </w:pPr>
      <w:r w:rsidRPr="00BE60D4">
        <w:rPr>
          <w:rFonts w:eastAsia="Calibri" w:cs="Times New Roman"/>
        </w:rPr>
        <w:t>Ēdināšanas pakalpojumu Tukuma novada pašvaldības izglītības iestādēs nodrošina:</w:t>
      </w:r>
    </w:p>
    <w:p w:rsidR="00BE60D4" w:rsidRPr="00BE60D4" w:rsidRDefault="00B7419D" w:rsidP="00BE60D4">
      <w:pPr>
        <w:ind w:right="0" w:firstLine="720"/>
        <w:rPr>
          <w:rFonts w:eastAsia="Calibri" w:cs="Times New Roman"/>
        </w:rPr>
      </w:pPr>
      <w:r w:rsidRPr="00BE60D4">
        <w:rPr>
          <w:rFonts w:eastAsia="Calibri" w:cs="Times New Roman"/>
        </w:rPr>
        <w:t>[1] SIA “IRG” un SIA “Saltums Kandavā”</w:t>
      </w:r>
      <w:r>
        <w:rPr>
          <w:rFonts w:eastAsia="Calibri" w:cs="Times New Roman"/>
        </w:rPr>
        <w:t>,</w:t>
      </w:r>
      <w:r w:rsidRPr="00BE60D4">
        <w:rPr>
          <w:rFonts w:eastAsia="Calibri" w:cs="Times New Roman"/>
        </w:rPr>
        <w:t xml:space="preserve"> pamatojoties uz </w:t>
      </w:r>
      <w:r>
        <w:rPr>
          <w:rFonts w:eastAsia="Calibri" w:cs="Times New Roman"/>
        </w:rPr>
        <w:t xml:space="preserve">publiska iepirkuma </w:t>
      </w:r>
      <w:r w:rsidR="00745038">
        <w:rPr>
          <w:rFonts w:eastAsia="Calibri" w:cs="Times New Roman"/>
        </w:rPr>
        <w:t>–</w:t>
      </w:r>
      <w:r>
        <w:rPr>
          <w:rFonts w:eastAsia="Calibri" w:cs="Times New Roman"/>
        </w:rPr>
        <w:t xml:space="preserve"> </w:t>
      </w:r>
      <w:r w:rsidRPr="00BE60D4">
        <w:rPr>
          <w:rFonts w:eastAsia="Calibri" w:cs="Times New Roman"/>
        </w:rPr>
        <w:t>atklāt</w:t>
      </w:r>
      <w:r>
        <w:rPr>
          <w:rFonts w:eastAsia="Calibri" w:cs="Times New Roman"/>
        </w:rPr>
        <w:t>a</w:t>
      </w:r>
      <w:r w:rsidRPr="00BE60D4">
        <w:rPr>
          <w:rFonts w:eastAsia="Calibri" w:cs="Times New Roman"/>
        </w:rPr>
        <w:t xml:space="preserve"> konkursa “Ēdināšanas pakalpojumu sniegšana Tukuma novada izglītības iestād</w:t>
      </w:r>
      <w:r w:rsidRPr="00BE60D4">
        <w:rPr>
          <w:rFonts w:eastAsia="Calibri" w:cs="Times New Roman"/>
        </w:rPr>
        <w:t>ēs”</w:t>
      </w:r>
      <w:r>
        <w:rPr>
          <w:rFonts w:eastAsia="Calibri" w:cs="Times New Roman"/>
        </w:rPr>
        <w:t xml:space="preserve"> rezultātā</w:t>
      </w:r>
      <w:r w:rsidRPr="00BE60D4">
        <w:rPr>
          <w:rFonts w:eastAsia="Calibri" w:cs="Times New Roman"/>
        </w:rPr>
        <w:t xml:space="preserve"> noslēgtajiem līgumiem. Izmaiņas ēdināšanas pakalpojuma maksā tiek veiktas</w:t>
      </w:r>
      <w:r>
        <w:rPr>
          <w:rFonts w:eastAsia="Calibri" w:cs="Times New Roman"/>
        </w:rPr>
        <w:t>,</w:t>
      </w:r>
      <w:r w:rsidRPr="00BE60D4">
        <w:rPr>
          <w:rFonts w:eastAsia="Calibri" w:cs="Times New Roman"/>
        </w:rPr>
        <w:t xml:space="preserve"> ņemot vērā Centrālās statistikas pārvaldes oficiālo statistikas ziņojumu par patēriņa cenu vidējām izmaiņām 12</w:t>
      </w:r>
      <w:r w:rsidR="002219E4">
        <w:rPr>
          <w:rFonts w:eastAsia="Calibri" w:cs="Times New Roman"/>
        </w:rPr>
        <w:t> </w:t>
      </w:r>
      <w:r w:rsidRPr="00BE60D4">
        <w:rPr>
          <w:rFonts w:eastAsia="Calibri" w:cs="Times New Roman"/>
        </w:rPr>
        <w:t>mēnešos pret iepriekšējiem 12</w:t>
      </w:r>
      <w:r w:rsidR="002219E4">
        <w:rPr>
          <w:rFonts w:eastAsia="Calibri" w:cs="Times New Roman"/>
        </w:rPr>
        <w:t> </w:t>
      </w:r>
      <w:r w:rsidRPr="00BE60D4">
        <w:rPr>
          <w:rFonts w:eastAsia="Calibri" w:cs="Times New Roman"/>
        </w:rPr>
        <w:t>mēnešiem statistikas apakš</w:t>
      </w:r>
      <w:r w:rsidRPr="00BE60D4">
        <w:rPr>
          <w:rFonts w:eastAsia="Calibri" w:cs="Times New Roman"/>
        </w:rPr>
        <w:t>grupā Nr. 11.1.2. (Ēdnīcu pakalpojumi), par atskaites perioda (12</w:t>
      </w:r>
      <w:r w:rsidR="002219E4">
        <w:rPr>
          <w:rFonts w:eastAsia="Calibri" w:cs="Times New Roman"/>
        </w:rPr>
        <w:t> </w:t>
      </w:r>
      <w:r w:rsidRPr="00BE60D4">
        <w:rPr>
          <w:rFonts w:eastAsia="Calibri" w:cs="Times New Roman"/>
        </w:rPr>
        <w:t>mēneši) mēnesi pieņemot jūlija mēnesi. No 2024. gada 1. oktobra izglītības iestādēs ēdināšanas maksa tiek noteikta atbilstoši 1. pielikumam</w:t>
      </w:r>
      <w:r w:rsidR="00745038">
        <w:rPr>
          <w:rFonts w:eastAsia="Calibri" w:cs="Times New Roman"/>
        </w:rPr>
        <w:t>.</w:t>
      </w:r>
    </w:p>
    <w:p w:rsidR="00BE60D4" w:rsidRPr="00BE60D4" w:rsidRDefault="00B7419D" w:rsidP="00BE60D4">
      <w:pPr>
        <w:ind w:right="0" w:firstLine="720"/>
        <w:rPr>
          <w:rFonts w:eastAsia="Calibri" w:cs="Times New Roman"/>
        </w:rPr>
      </w:pPr>
      <w:r w:rsidRPr="00BE60D4">
        <w:rPr>
          <w:rFonts w:eastAsia="Calibri" w:cs="Times New Roman"/>
        </w:rPr>
        <w:t xml:space="preserve">[2] </w:t>
      </w:r>
      <w:r w:rsidR="00745038">
        <w:rPr>
          <w:rFonts w:eastAsia="Calibri" w:cs="Times New Roman"/>
        </w:rPr>
        <w:t>J</w:t>
      </w:r>
      <w:r w:rsidRPr="00BE60D4">
        <w:rPr>
          <w:rFonts w:eastAsia="Calibri" w:cs="Times New Roman"/>
        </w:rPr>
        <w:t xml:space="preserve">uridiska persona, kurai ir noslēgts līgums </w:t>
      </w:r>
      <w:r w:rsidRPr="00BE60D4">
        <w:rPr>
          <w:rFonts w:eastAsia="Calibri" w:cs="Times New Roman"/>
        </w:rPr>
        <w:t>par ēdināšanas pakalpojuma sniegšanu ar attiecīgo izglītības iestādi, atbilstoši 2. pielikumam</w:t>
      </w:r>
      <w:r w:rsidR="00745038">
        <w:rPr>
          <w:rFonts w:eastAsia="Calibri" w:cs="Times New Roman"/>
        </w:rPr>
        <w:t>.</w:t>
      </w:r>
      <w:r w:rsidRPr="00BE60D4">
        <w:rPr>
          <w:rFonts w:eastAsia="Calibri" w:cs="Times New Roman"/>
        </w:rPr>
        <w:t xml:space="preserve"> </w:t>
      </w:r>
    </w:p>
    <w:p w:rsidR="00BE60D4" w:rsidRPr="00BE60D4" w:rsidRDefault="00B7419D" w:rsidP="00BE60D4">
      <w:pPr>
        <w:ind w:right="0" w:firstLine="720"/>
        <w:rPr>
          <w:rFonts w:eastAsia="Calibri" w:cs="Times New Roman"/>
        </w:rPr>
      </w:pPr>
      <w:r w:rsidRPr="00BE60D4">
        <w:rPr>
          <w:rFonts w:eastAsia="Calibri" w:cs="Times New Roman"/>
        </w:rPr>
        <w:t xml:space="preserve">[3] </w:t>
      </w:r>
      <w:r w:rsidR="00745038">
        <w:rPr>
          <w:rFonts w:eastAsia="Calibri" w:cs="Times New Roman"/>
        </w:rPr>
        <w:t>I</w:t>
      </w:r>
      <w:r w:rsidRPr="00BE60D4">
        <w:rPr>
          <w:rFonts w:eastAsia="Calibri" w:cs="Times New Roman"/>
        </w:rPr>
        <w:t>zglītīb</w:t>
      </w:r>
      <w:r w:rsidR="00745038">
        <w:rPr>
          <w:rFonts w:eastAsia="Calibri" w:cs="Times New Roman"/>
        </w:rPr>
        <w:t>a</w:t>
      </w:r>
      <w:r>
        <w:rPr>
          <w:rFonts w:eastAsia="Calibri" w:cs="Times New Roman"/>
        </w:rPr>
        <w:t>s</w:t>
      </w:r>
      <w:r w:rsidRPr="00BE60D4">
        <w:rPr>
          <w:rFonts w:eastAsia="Calibri" w:cs="Times New Roman"/>
        </w:rPr>
        <w:t xml:space="preserve"> iestāde, saskaņā ar apstiprināto maksas pakalpojumu cenrādi, atbilstoši 3. pielikumam.</w:t>
      </w:r>
    </w:p>
    <w:p w:rsidR="00BE60D4" w:rsidRPr="002219E4" w:rsidRDefault="00B7419D" w:rsidP="00BE60D4">
      <w:pPr>
        <w:ind w:right="0" w:firstLine="720"/>
        <w:rPr>
          <w:rFonts w:eastAsia="Calibri" w:cs="Times New Roman"/>
        </w:rPr>
      </w:pPr>
      <w:r w:rsidRPr="002219E4">
        <w:rPr>
          <w:rFonts w:eastAsia="Calibri" w:cs="Times New Roman"/>
        </w:rPr>
        <w:t xml:space="preserve"> </w:t>
      </w:r>
    </w:p>
    <w:p w:rsidR="00BE60D4" w:rsidRPr="00BE60D4" w:rsidRDefault="00B7419D" w:rsidP="00BE60D4">
      <w:pPr>
        <w:ind w:right="0" w:firstLine="720"/>
        <w:rPr>
          <w:rFonts w:eastAsia="Calibri" w:cs="Times New Roman"/>
        </w:rPr>
      </w:pPr>
      <w:r w:rsidRPr="00BE60D4">
        <w:rPr>
          <w:rFonts w:eastAsia="Calibri" w:cs="Times New Roman"/>
        </w:rPr>
        <w:t xml:space="preserve">Pamatojoties uz Izglītības likuma 17. panta trešās </w:t>
      </w:r>
      <w:r w:rsidRPr="00BE60D4">
        <w:rPr>
          <w:rFonts w:eastAsia="Calibri" w:cs="Times New Roman"/>
        </w:rPr>
        <w:t>daļas 11. punktu un Tukuma novada domes 2021. gada 24. novembra saistošo noteikumu Nr. 39 “Ēdināšanas maksas atvieglojumu piešķiršanas kārtība Tukuma novada pašvaldības vispārējās izglītības iestādēs” 4. punktu, atvieglojumu apmēru ēdināšanas maksai Tukuma</w:t>
      </w:r>
      <w:r w:rsidRPr="00BE60D4">
        <w:rPr>
          <w:rFonts w:eastAsia="Calibri" w:cs="Times New Roman"/>
        </w:rPr>
        <w:t xml:space="preserve"> novada pašvaldības izglītības iestādēs nosaka Tukuma novada dome. Ņemot vērā minēto, Tukuma novada dome nolemj:</w:t>
      </w:r>
    </w:p>
    <w:p w:rsidR="00BE60D4" w:rsidRPr="00BE60D4" w:rsidRDefault="00BE60D4" w:rsidP="00BE60D4">
      <w:pPr>
        <w:ind w:right="0"/>
        <w:rPr>
          <w:rFonts w:eastAsia="Times New Roman" w:cs="Times New Roman"/>
          <w:bCs/>
          <w:color w:val="385623"/>
          <w:szCs w:val="24"/>
          <w:lang w:eastAsia="lv-LV"/>
        </w:rPr>
      </w:pP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 xml:space="preserve">1. noteikt šādu </w:t>
      </w:r>
      <w:r w:rsidRPr="00BE60D4">
        <w:rPr>
          <w:rFonts w:eastAsia="Calibri" w:cs="Times New Roman"/>
        </w:rPr>
        <w:t>ēdināšanas maksas atvieglojumu apmēru</w:t>
      </w:r>
      <w:r w:rsidRPr="00BE60D4">
        <w:rPr>
          <w:rFonts w:eastAsia="Times New Roman" w:cs="Times New Roman"/>
          <w:bCs/>
          <w:szCs w:val="24"/>
          <w:lang w:eastAsia="lv-LV"/>
        </w:rPr>
        <w:t xml:space="preserve"> no 2024. gada 1. oktobra:</w:t>
      </w:r>
    </w:p>
    <w:p w:rsidR="00BE60D4" w:rsidRPr="00BE60D4" w:rsidRDefault="00BE60D4" w:rsidP="00BE60D4">
      <w:pPr>
        <w:ind w:right="0" w:firstLine="720"/>
        <w:contextualSpacing/>
        <w:rPr>
          <w:rFonts w:eastAsia="Times New Roman" w:cs="Times New Roman"/>
          <w:bCs/>
          <w:szCs w:val="24"/>
          <w:lang w:eastAsia="lv-LV"/>
        </w:rPr>
      </w:pP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1.1. pirmsskolas izglītības izglītojamo ēdināšanai pirmsskola</w:t>
      </w:r>
      <w:r w:rsidRPr="00BE60D4">
        <w:rPr>
          <w:rFonts w:eastAsia="Times New Roman" w:cs="Times New Roman"/>
          <w:bCs/>
          <w:szCs w:val="24"/>
          <w:lang w:eastAsia="lv-LV"/>
        </w:rPr>
        <w:t>s izglītības iestādēs un skolās, kas īsteno pirmsskolas izglītības programmu, 1,40 EUR dienā vienam izglītojamajam;</w:t>
      </w: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1.2. vispārējās izglītības iestādēs no 1. līdz 4. klasei starpību starp ēdināšanas pakalpojuma maksu un normatīvajos aktos noteikto valsts b</w:t>
      </w:r>
      <w:r w:rsidRPr="00BE60D4">
        <w:rPr>
          <w:rFonts w:eastAsia="Times New Roman" w:cs="Times New Roman"/>
          <w:bCs/>
          <w:szCs w:val="24"/>
          <w:lang w:eastAsia="lv-LV"/>
        </w:rPr>
        <w:t>udžeta finansējumu, atbilstoši 4. pielikuma 1. tabulai;</w:t>
      </w:r>
    </w:p>
    <w:p w:rsidR="00BE60D4" w:rsidRPr="00BE60D4" w:rsidRDefault="00B7419D" w:rsidP="00BE60D4">
      <w:pPr>
        <w:spacing w:line="259" w:lineRule="auto"/>
        <w:ind w:right="0" w:firstLine="720"/>
        <w:rPr>
          <w:rFonts w:eastAsia="Calibri" w:cs="Times New Roman"/>
          <w:szCs w:val="24"/>
        </w:rPr>
      </w:pPr>
      <w:r w:rsidRPr="00BE60D4">
        <w:rPr>
          <w:rFonts w:eastAsia="Calibri" w:cs="Times New Roman"/>
          <w:szCs w:val="24"/>
        </w:rPr>
        <w:t xml:space="preserve">1.3. vispārējās izglītības iestādēs no 5. līdz 12. klasei 50 % no pusdienu maksas, </w:t>
      </w:r>
      <w:r w:rsidRPr="00BE60D4">
        <w:rPr>
          <w:rFonts w:eastAsia="Times New Roman" w:cs="Times New Roman"/>
          <w:bCs/>
          <w:szCs w:val="24"/>
          <w:lang w:eastAsia="lv-LV"/>
        </w:rPr>
        <w:t>atbilstoši 4. pielikuma 2. tabulai</w:t>
      </w:r>
      <w:r w:rsidRPr="00BE60D4">
        <w:rPr>
          <w:rFonts w:eastAsia="Calibri" w:cs="Times New Roman"/>
          <w:szCs w:val="24"/>
        </w:rPr>
        <w:t>;</w:t>
      </w:r>
    </w:p>
    <w:p w:rsidR="00BE60D4" w:rsidRPr="00BE60D4" w:rsidRDefault="00B7419D" w:rsidP="00BE60D4">
      <w:pPr>
        <w:spacing w:line="259" w:lineRule="auto"/>
        <w:ind w:right="0" w:firstLine="720"/>
        <w:rPr>
          <w:rFonts w:eastAsia="Calibri" w:cs="Times New Roman"/>
          <w:szCs w:val="24"/>
        </w:rPr>
      </w:pPr>
      <w:r w:rsidRPr="00BE60D4">
        <w:rPr>
          <w:rFonts w:eastAsia="Calibri" w:cs="Times New Roman"/>
          <w:szCs w:val="24"/>
        </w:rPr>
        <w:t>1.4. izglītojamajiem, kuri ir daudzbērnu ģimeņu bērni, bērni ar invaliditāti, bēr</w:t>
      </w:r>
      <w:r w:rsidRPr="00BE60D4">
        <w:rPr>
          <w:rFonts w:eastAsia="Calibri" w:cs="Times New Roman"/>
          <w:szCs w:val="24"/>
        </w:rPr>
        <w:t xml:space="preserve">ni, kuri slimo ar celiakiju, aizbildnībā nodotie bērni, 81 %, izņemot lēmuma 1.2. punktā minētajos gadījumos, </w:t>
      </w:r>
      <w:r w:rsidRPr="00BE60D4">
        <w:rPr>
          <w:rFonts w:eastAsia="Times New Roman" w:cs="Times New Roman"/>
          <w:bCs/>
          <w:szCs w:val="24"/>
          <w:lang w:eastAsia="lv-LV"/>
        </w:rPr>
        <w:t>atbilstoši 4. pielikuma 3. tabulai</w:t>
      </w:r>
      <w:r w:rsidRPr="00BE60D4">
        <w:rPr>
          <w:rFonts w:eastAsia="Calibri" w:cs="Times New Roman"/>
          <w:szCs w:val="24"/>
        </w:rPr>
        <w:t>;</w:t>
      </w:r>
    </w:p>
    <w:p w:rsidR="00BE60D4" w:rsidRPr="00BE60D4" w:rsidRDefault="00B7419D" w:rsidP="00BE60D4">
      <w:pPr>
        <w:spacing w:line="259" w:lineRule="auto"/>
        <w:ind w:right="0" w:firstLine="720"/>
        <w:rPr>
          <w:rFonts w:eastAsia="Calibri" w:cs="Times New Roman"/>
          <w:szCs w:val="24"/>
        </w:rPr>
      </w:pPr>
      <w:r w:rsidRPr="00BE60D4">
        <w:rPr>
          <w:rFonts w:eastAsia="Calibri" w:cs="Times New Roman"/>
          <w:szCs w:val="24"/>
        </w:rPr>
        <w:lastRenderedPageBreak/>
        <w:t xml:space="preserve">1.5. izglītojamajiem, kuri dzīvo mājsaimniecībā, kurai piešķirts trūcīgas vai maznodrošinātas mājsaimniecības </w:t>
      </w:r>
      <w:r w:rsidRPr="00BE60D4">
        <w:rPr>
          <w:rFonts w:eastAsia="Calibri" w:cs="Times New Roman"/>
          <w:szCs w:val="24"/>
        </w:rPr>
        <w:t xml:space="preserve">statuss, 100 %, izņemot lēmuma 1.2. punktā minētajos gadījumos, </w:t>
      </w:r>
      <w:r w:rsidRPr="00BE60D4">
        <w:rPr>
          <w:rFonts w:eastAsia="Times New Roman" w:cs="Times New Roman"/>
          <w:bCs/>
          <w:szCs w:val="24"/>
          <w:lang w:eastAsia="lv-LV"/>
        </w:rPr>
        <w:t>atbilstoši 4. pielikuma 4. tabulai</w:t>
      </w:r>
      <w:r w:rsidRPr="00BE60D4">
        <w:rPr>
          <w:rFonts w:eastAsia="Calibri" w:cs="Times New Roman"/>
          <w:szCs w:val="24"/>
        </w:rPr>
        <w:t>;</w:t>
      </w: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1.6. Kandavas Reģionālās pamatskolas izglītojamajiem, kuri dzīvo mājsaimniecībā, kurai piešķirts trūcīgas vai maznodrošinātas mājsaimniecības statuss un kur</w:t>
      </w:r>
      <w:r w:rsidRPr="00BE60D4">
        <w:rPr>
          <w:rFonts w:eastAsia="Times New Roman" w:cs="Times New Roman"/>
          <w:bCs/>
          <w:szCs w:val="24"/>
          <w:lang w:eastAsia="lv-LV"/>
        </w:rPr>
        <w:t>i izmanto internāta pakalpojumu, 100 % no ēdināšanas (brokastis, pusdienas, launags, vakariņas) izmaksām,</w:t>
      </w:r>
    </w:p>
    <w:p w:rsidR="00BE60D4" w:rsidRPr="00BE60D4" w:rsidRDefault="00BE60D4" w:rsidP="00BE60D4">
      <w:pPr>
        <w:ind w:right="0" w:firstLine="720"/>
        <w:rPr>
          <w:rFonts w:eastAsia="Times New Roman" w:cs="Times New Roman"/>
          <w:bCs/>
          <w:szCs w:val="24"/>
          <w:lang w:eastAsia="lv-LV"/>
        </w:rPr>
      </w:pP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2. noteikt, ka pašvaldības ēdināšanas maksas atvieglojums netiek piešķirts, j</w:t>
      </w:r>
      <w:r w:rsidRPr="00BE60D4">
        <w:rPr>
          <w:rFonts w:eastAsia="Times New Roman" w:cs="Times New Roman"/>
          <w:szCs w:val="24"/>
          <w:lang w:eastAsia="lv-LV"/>
        </w:rPr>
        <w:t xml:space="preserve">a izglītojamā vecāks/likumiskais pārstāvis vai pilngadīgs izglītojamais </w:t>
      </w:r>
      <w:r w:rsidRPr="00BE60D4">
        <w:rPr>
          <w:rFonts w:eastAsia="Times New Roman" w:cs="Times New Roman"/>
          <w:szCs w:val="24"/>
          <w:lang w:eastAsia="lv-LV"/>
        </w:rPr>
        <w:t xml:space="preserve">izglītības iestādes noteiktajā kārtībā nav informējis izglītības iestādi par izglītības iestādes neapmeklēšanu un nav veicis ēdināšanas pakalpojuma atteikumu par konkrēto kavējuma periodu. Par neatteikto ēdināšanas pakalpojumu vecāks/likumiskais pārstāvis </w:t>
      </w:r>
      <w:r w:rsidRPr="00BE60D4">
        <w:rPr>
          <w:rFonts w:eastAsia="Times New Roman" w:cs="Times New Roman"/>
          <w:szCs w:val="24"/>
          <w:lang w:eastAsia="lv-LV"/>
        </w:rPr>
        <w:t>sedz pilnu ēdināšanas pakalpojuma maksu atbilstoši lēmuma 1., 2. vai 3. pielikumam,</w:t>
      </w:r>
    </w:p>
    <w:p w:rsidR="00BE60D4" w:rsidRPr="00BE60D4" w:rsidRDefault="00B7419D" w:rsidP="00BE60D4">
      <w:pPr>
        <w:ind w:right="0"/>
        <w:rPr>
          <w:rFonts w:eastAsia="Times New Roman" w:cs="Times New Roman"/>
          <w:bCs/>
          <w:szCs w:val="24"/>
          <w:lang w:eastAsia="lv-LV"/>
        </w:rPr>
      </w:pPr>
      <w:r w:rsidRPr="00BE60D4">
        <w:rPr>
          <w:rFonts w:eastAsia="Times New Roman" w:cs="Times New Roman"/>
          <w:bCs/>
          <w:szCs w:val="24"/>
          <w:lang w:eastAsia="lv-LV"/>
        </w:rPr>
        <w:tab/>
      </w: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3. uzdot Tukuma novada pašvaldības izglītības iestāžu vadītājiem informēt izglītojamo vecākus/likumiskos pārstāvjus un pilngadīgos izglītojamos:</w:t>
      </w: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 xml:space="preserve">3.1. par ēdināšanas </w:t>
      </w:r>
      <w:r w:rsidRPr="00BE60D4">
        <w:rPr>
          <w:rFonts w:eastAsia="Times New Roman" w:cs="Times New Roman"/>
          <w:bCs/>
          <w:szCs w:val="24"/>
          <w:lang w:eastAsia="lv-LV"/>
        </w:rPr>
        <w:t>maksas atvieglojumu apmēru Tukuma novada pašvaldības izglītības iestādēs no 2024. gada 1. oktobra;</w:t>
      </w: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3.2. par pienākumu lēmuma 2. punktā noteiktajā gadījumā segt pilnu ēdināšanas pakalpojuma maksu</w:t>
      </w:r>
      <w:r>
        <w:rPr>
          <w:rFonts w:eastAsia="Times New Roman" w:cs="Times New Roman"/>
          <w:bCs/>
          <w:szCs w:val="24"/>
          <w:lang w:eastAsia="lv-LV"/>
        </w:rPr>
        <w:t>;</w:t>
      </w:r>
    </w:p>
    <w:p w:rsidR="00BE60D4" w:rsidRPr="00BE60D4" w:rsidRDefault="00BE60D4" w:rsidP="00BE60D4">
      <w:pPr>
        <w:ind w:left="420" w:right="0"/>
        <w:contextualSpacing/>
        <w:rPr>
          <w:rFonts w:eastAsia="Times New Roman" w:cs="Times New Roman"/>
          <w:bCs/>
          <w:szCs w:val="24"/>
          <w:lang w:eastAsia="lv-LV"/>
        </w:rPr>
      </w:pPr>
    </w:p>
    <w:p w:rsidR="00BE60D4" w:rsidRPr="00BE60D4" w:rsidRDefault="00B7419D" w:rsidP="00BE60D4">
      <w:pPr>
        <w:ind w:right="0" w:firstLine="720"/>
        <w:rPr>
          <w:rFonts w:eastAsia="Times New Roman" w:cs="Times New Roman"/>
          <w:bCs/>
          <w:szCs w:val="24"/>
          <w:lang w:eastAsia="lv-LV"/>
        </w:rPr>
      </w:pPr>
      <w:r w:rsidRPr="00BE60D4">
        <w:rPr>
          <w:rFonts w:eastAsia="Times New Roman" w:cs="Times New Roman"/>
          <w:bCs/>
          <w:szCs w:val="24"/>
          <w:lang w:eastAsia="lv-LV"/>
        </w:rPr>
        <w:t>4. finansējumu izglītojamo ēdināšanas maksas atvieglojumu n</w:t>
      </w:r>
      <w:r w:rsidRPr="00BE60D4">
        <w:rPr>
          <w:rFonts w:eastAsia="Times New Roman" w:cs="Times New Roman"/>
          <w:bCs/>
          <w:szCs w:val="24"/>
          <w:lang w:eastAsia="lv-LV"/>
        </w:rPr>
        <w:t>odrošināšanai plānot Tukuma novada izglītības iestāžu budžetos,</w:t>
      </w:r>
    </w:p>
    <w:p w:rsidR="00BE60D4" w:rsidRPr="00BE60D4" w:rsidRDefault="00BE60D4" w:rsidP="00BE60D4">
      <w:pPr>
        <w:ind w:right="0" w:firstLine="720"/>
        <w:rPr>
          <w:rFonts w:eastAsia="Times New Roman" w:cs="Times New Roman"/>
          <w:bCs/>
          <w:szCs w:val="24"/>
          <w:lang w:eastAsia="lv-LV"/>
        </w:rPr>
      </w:pPr>
    </w:p>
    <w:p w:rsidR="00BE60D4" w:rsidRPr="00BE60D4" w:rsidRDefault="00B7419D" w:rsidP="00BE60D4">
      <w:pPr>
        <w:ind w:right="0" w:firstLine="720"/>
        <w:rPr>
          <w:rFonts w:eastAsia="Times New Roman" w:cs="Times New Roman"/>
          <w:bCs/>
          <w:szCs w:val="24"/>
          <w:lang w:val="it-IT" w:eastAsia="lv-LV"/>
        </w:rPr>
      </w:pPr>
      <w:r w:rsidRPr="00BE60D4">
        <w:rPr>
          <w:rFonts w:eastAsia="Times New Roman" w:cs="Times New Roman"/>
          <w:bCs/>
          <w:szCs w:val="24"/>
          <w:lang w:eastAsia="lv-LV"/>
        </w:rPr>
        <w:t xml:space="preserve">5. Tukuma novada domes 2024. gada 7. februāra lēmumu </w:t>
      </w:r>
      <w:r w:rsidRPr="00BE60D4">
        <w:rPr>
          <w:rFonts w:eastAsia="Times New Roman" w:cs="Times New Roman"/>
          <w:bCs/>
          <w:szCs w:val="24"/>
          <w:lang w:val="it-IT" w:eastAsia="lv-LV"/>
        </w:rPr>
        <w:t xml:space="preserve">Nr. TND/24/42 </w:t>
      </w:r>
      <w:r w:rsidRPr="00BE60D4">
        <w:rPr>
          <w:rFonts w:eastAsia="Times New Roman" w:cs="Times New Roman"/>
          <w:bCs/>
          <w:szCs w:val="24"/>
          <w:lang w:eastAsia="lv-LV"/>
        </w:rPr>
        <w:t>“Par izglītojamo ēdināšanas pakalpojumu izmaksām un pašvaldības līdzfinansējumu izglītojamo ēdināšanai Tukuma novada izglītī</w:t>
      </w:r>
      <w:r w:rsidRPr="00BE60D4">
        <w:rPr>
          <w:rFonts w:eastAsia="Times New Roman" w:cs="Times New Roman"/>
          <w:bCs/>
          <w:szCs w:val="24"/>
          <w:lang w:eastAsia="lv-LV"/>
        </w:rPr>
        <w:t>bas iestādēs no 2024. gada 1. jūlija”</w:t>
      </w:r>
      <w:r w:rsidRPr="00BE60D4">
        <w:rPr>
          <w:rFonts w:ascii="Calibri" w:eastAsia="Calibri" w:hAnsi="Calibri" w:cs="Times New Roman"/>
          <w:sz w:val="22"/>
        </w:rPr>
        <w:t xml:space="preserve"> </w:t>
      </w:r>
      <w:r w:rsidRPr="00BE60D4">
        <w:rPr>
          <w:rFonts w:eastAsia="Times New Roman" w:cs="Times New Roman"/>
          <w:bCs/>
          <w:szCs w:val="24"/>
          <w:lang w:val="it-IT" w:eastAsia="lv-LV"/>
        </w:rPr>
        <w:t>(prot. Nr. 2, 2. §)</w:t>
      </w:r>
      <w:r w:rsidRPr="00AD4AC3">
        <w:rPr>
          <w:rFonts w:eastAsia="Times New Roman" w:cs="Times New Roman"/>
          <w:bCs/>
          <w:szCs w:val="24"/>
          <w:lang w:eastAsia="lv-LV"/>
        </w:rPr>
        <w:t xml:space="preserve"> </w:t>
      </w:r>
      <w:r w:rsidRPr="00BE60D4">
        <w:rPr>
          <w:rFonts w:eastAsia="Times New Roman" w:cs="Times New Roman"/>
          <w:bCs/>
          <w:szCs w:val="24"/>
          <w:lang w:eastAsia="lv-LV"/>
        </w:rPr>
        <w:t>atzīt par spēku zaudējušu no 2024. gada 1. oktobra</w:t>
      </w:r>
      <w:r w:rsidRPr="00BE60D4">
        <w:rPr>
          <w:rFonts w:eastAsia="Times New Roman" w:cs="Times New Roman"/>
          <w:bCs/>
          <w:szCs w:val="24"/>
          <w:lang w:val="it-IT" w:eastAsia="lv-LV"/>
        </w:rPr>
        <w:t>.</w:t>
      </w:r>
    </w:p>
    <w:p w:rsidR="00122F7B" w:rsidRPr="00122F7B" w:rsidRDefault="00122F7B" w:rsidP="00122F7B">
      <w:pPr>
        <w:ind w:right="0"/>
        <w:jc w:val="left"/>
        <w:rPr>
          <w:rFonts w:cs="Times New Roman"/>
          <w:szCs w:val="24"/>
        </w:rPr>
      </w:pPr>
    </w:p>
    <w:p w:rsidR="00122F7B" w:rsidRPr="00122F7B" w:rsidRDefault="00122F7B" w:rsidP="00122F7B">
      <w:pPr>
        <w:ind w:right="0"/>
        <w:rPr>
          <w:rFonts w:cs="Times New Roman"/>
          <w:szCs w:val="24"/>
        </w:rPr>
      </w:pPr>
    </w:p>
    <w:p w:rsidR="00122F7B" w:rsidRPr="00122F7B" w:rsidRDefault="00122F7B" w:rsidP="00122F7B">
      <w:pPr>
        <w:ind w:right="0"/>
        <w:rPr>
          <w:rFonts w:cs="Times New Roman"/>
          <w:szCs w:val="24"/>
        </w:rPr>
      </w:pPr>
    </w:p>
    <w:p w:rsidR="00122F7B" w:rsidRPr="00122F7B" w:rsidRDefault="00B7419D" w:rsidP="00122F7B">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R="00122F7B" w:rsidRPr="00122F7B" w:rsidSect="00FE5521">
      <w:headerReference w:type="default" r:id="rId11"/>
      <w:footerReference w:type="defaul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9D" w:rsidRDefault="00B7419D">
      <w:r>
        <w:separator/>
      </w:r>
    </w:p>
  </w:endnote>
  <w:endnote w:type="continuationSeparator" w:id="0">
    <w:p w:rsidR="00B7419D" w:rsidRDefault="00B7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06F" w:rsidRPr="0004206F" w:rsidRDefault="00B7419D">
    <w:pPr>
      <w:pStyle w:val="Kjene"/>
      <w:jc w:val="center"/>
      <w:rPr>
        <w:sz w:val="12"/>
        <w:szCs w:val="12"/>
      </w:rPr>
    </w:pPr>
    <w:sdt>
      <w:sdtPr>
        <w:rPr>
          <w:sz w:val="12"/>
          <w:szCs w:val="12"/>
        </w:rPr>
        <w:id w:val="1617092537"/>
        <w:docPartObj>
          <w:docPartGallery w:val="Page Numbers (Bottom of Page)"/>
          <w:docPartUnique/>
        </w:docPartObj>
      </w:sdtPr>
      <w:sdtEndPr>
        <w:rPr>
          <w:noProof/>
        </w:rPr>
      </w:sdtEndPr>
      <w:sdtContent>
        <w:r w:rsidR="00287A5C" w:rsidRPr="0004206F">
          <w:rPr>
            <w:sz w:val="12"/>
            <w:szCs w:val="12"/>
          </w:rPr>
          <w:fldChar w:fldCharType="begin"/>
        </w:r>
        <w:r w:rsidR="00287A5C" w:rsidRPr="0004206F">
          <w:rPr>
            <w:sz w:val="12"/>
            <w:szCs w:val="12"/>
          </w:rPr>
          <w:instrText xml:space="preserve"> PAGE   \* MERGEFORMAT </w:instrText>
        </w:r>
        <w:r w:rsidR="00287A5C" w:rsidRPr="0004206F">
          <w:rPr>
            <w:sz w:val="12"/>
            <w:szCs w:val="12"/>
          </w:rPr>
          <w:fldChar w:fldCharType="separate"/>
        </w:r>
        <w:r w:rsidR="0043452F">
          <w:rPr>
            <w:noProof/>
            <w:sz w:val="12"/>
            <w:szCs w:val="12"/>
          </w:rPr>
          <w:t>1</w:t>
        </w:r>
        <w:r w:rsidR="00287A5C" w:rsidRPr="0004206F">
          <w:rPr>
            <w:noProof/>
            <w:sz w:val="12"/>
            <w:szCs w:val="12"/>
          </w:rPr>
          <w:fldChar w:fldCharType="end"/>
        </w:r>
      </w:sdtContent>
    </w:sdt>
  </w:p>
  <w:p w:rsidR="0004206F" w:rsidRDefault="0004206F">
    <w:pPr>
      <w:pStyle w:val="Kjene"/>
    </w:pPr>
  </w:p>
  <w:p w:rsidR="00CA0922" w:rsidRDefault="00B7419D">
    <w:pPr>
      <w:jc w:val="center"/>
    </w:pPr>
    <w:r>
      <w:rPr>
        <w:rFonts w:eastAsia="Times New Roman" w:cs="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922" w:rsidRDefault="00B7419D">
    <w:pPr>
      <w:jc w:val="center"/>
    </w:pPr>
    <w:r>
      <w:rPr>
        <w:rFonts w:eastAsia="Times New Roman" w:cs="Times New Roman"/>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9D" w:rsidRDefault="00B7419D">
      <w:r>
        <w:separator/>
      </w:r>
    </w:p>
  </w:footnote>
  <w:footnote w:type="continuationSeparator" w:id="0">
    <w:p w:rsidR="00B7419D" w:rsidRDefault="00B741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43" w:rsidRPr="008F69DF" w:rsidRDefault="008C0E43" w:rsidP="008F69DF">
    <w:pPr>
      <w:pStyle w:val="Galvene"/>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764"/>
    <w:multiLevelType w:val="hybridMultilevel"/>
    <w:tmpl w:val="8B70C59E"/>
    <w:lvl w:ilvl="0" w:tplc="3EDE1FCA">
      <w:start w:val="1"/>
      <w:numFmt w:val="bullet"/>
      <w:lvlText w:val="-"/>
      <w:lvlJc w:val="left"/>
      <w:pPr>
        <w:ind w:left="720" w:hanging="360"/>
      </w:pPr>
      <w:rPr>
        <w:rFonts w:ascii="Calibri" w:eastAsiaTheme="minorHAnsi" w:hAnsi="Calibri" w:cstheme="minorBidi" w:hint="default"/>
      </w:rPr>
    </w:lvl>
    <w:lvl w:ilvl="1" w:tplc="F35E1CDC" w:tentative="1">
      <w:start w:val="1"/>
      <w:numFmt w:val="bullet"/>
      <w:lvlText w:val="o"/>
      <w:lvlJc w:val="left"/>
      <w:pPr>
        <w:ind w:left="1440" w:hanging="360"/>
      </w:pPr>
      <w:rPr>
        <w:rFonts w:ascii="Courier New" w:hAnsi="Courier New" w:cs="Courier New" w:hint="default"/>
      </w:rPr>
    </w:lvl>
    <w:lvl w:ilvl="2" w:tplc="8A58EF38" w:tentative="1">
      <w:start w:val="1"/>
      <w:numFmt w:val="bullet"/>
      <w:lvlText w:val=""/>
      <w:lvlJc w:val="left"/>
      <w:pPr>
        <w:ind w:left="2160" w:hanging="360"/>
      </w:pPr>
      <w:rPr>
        <w:rFonts w:ascii="Wingdings" w:hAnsi="Wingdings" w:hint="default"/>
      </w:rPr>
    </w:lvl>
    <w:lvl w:ilvl="3" w:tplc="BB08B23E" w:tentative="1">
      <w:start w:val="1"/>
      <w:numFmt w:val="bullet"/>
      <w:lvlText w:val=""/>
      <w:lvlJc w:val="left"/>
      <w:pPr>
        <w:ind w:left="2880" w:hanging="360"/>
      </w:pPr>
      <w:rPr>
        <w:rFonts w:ascii="Symbol" w:hAnsi="Symbol" w:hint="default"/>
      </w:rPr>
    </w:lvl>
    <w:lvl w:ilvl="4" w:tplc="9BAEEAAC" w:tentative="1">
      <w:start w:val="1"/>
      <w:numFmt w:val="bullet"/>
      <w:lvlText w:val="o"/>
      <w:lvlJc w:val="left"/>
      <w:pPr>
        <w:ind w:left="3600" w:hanging="360"/>
      </w:pPr>
      <w:rPr>
        <w:rFonts w:ascii="Courier New" w:hAnsi="Courier New" w:cs="Courier New" w:hint="default"/>
      </w:rPr>
    </w:lvl>
    <w:lvl w:ilvl="5" w:tplc="855CA7DA" w:tentative="1">
      <w:start w:val="1"/>
      <w:numFmt w:val="bullet"/>
      <w:lvlText w:val=""/>
      <w:lvlJc w:val="left"/>
      <w:pPr>
        <w:ind w:left="4320" w:hanging="360"/>
      </w:pPr>
      <w:rPr>
        <w:rFonts w:ascii="Wingdings" w:hAnsi="Wingdings" w:hint="default"/>
      </w:rPr>
    </w:lvl>
    <w:lvl w:ilvl="6" w:tplc="E2E27A1A" w:tentative="1">
      <w:start w:val="1"/>
      <w:numFmt w:val="bullet"/>
      <w:lvlText w:val=""/>
      <w:lvlJc w:val="left"/>
      <w:pPr>
        <w:ind w:left="5040" w:hanging="360"/>
      </w:pPr>
      <w:rPr>
        <w:rFonts w:ascii="Symbol" w:hAnsi="Symbol" w:hint="default"/>
      </w:rPr>
    </w:lvl>
    <w:lvl w:ilvl="7" w:tplc="ACC815DC" w:tentative="1">
      <w:start w:val="1"/>
      <w:numFmt w:val="bullet"/>
      <w:lvlText w:val="o"/>
      <w:lvlJc w:val="left"/>
      <w:pPr>
        <w:ind w:left="5760" w:hanging="360"/>
      </w:pPr>
      <w:rPr>
        <w:rFonts w:ascii="Courier New" w:hAnsi="Courier New" w:cs="Courier New" w:hint="default"/>
      </w:rPr>
    </w:lvl>
    <w:lvl w:ilvl="8" w:tplc="085C3668" w:tentative="1">
      <w:start w:val="1"/>
      <w:numFmt w:val="bullet"/>
      <w:lvlText w:val=""/>
      <w:lvlJc w:val="left"/>
      <w:pPr>
        <w:ind w:left="6480" w:hanging="360"/>
      </w:pPr>
      <w:rPr>
        <w:rFonts w:ascii="Wingdings" w:hAnsi="Wingdings" w:hint="default"/>
      </w:rPr>
    </w:lvl>
  </w:abstractNum>
  <w:abstractNum w:abstractNumId="1" w15:restartNumberingAfterBreak="0">
    <w:nsid w:val="0CB07320"/>
    <w:multiLevelType w:val="hybridMultilevel"/>
    <w:tmpl w:val="88CA57AC"/>
    <w:lvl w:ilvl="0" w:tplc="DA7A2E66">
      <w:start w:val="1"/>
      <w:numFmt w:val="decimal"/>
      <w:lvlText w:val="%1)"/>
      <w:lvlJc w:val="left"/>
      <w:pPr>
        <w:ind w:left="720" w:hanging="360"/>
      </w:pPr>
      <w:rPr>
        <w:rFonts w:hint="default"/>
      </w:rPr>
    </w:lvl>
    <w:lvl w:ilvl="1" w:tplc="4CFA97CA" w:tentative="1">
      <w:start w:val="1"/>
      <w:numFmt w:val="lowerLetter"/>
      <w:lvlText w:val="%2."/>
      <w:lvlJc w:val="left"/>
      <w:pPr>
        <w:ind w:left="1440" w:hanging="360"/>
      </w:pPr>
    </w:lvl>
    <w:lvl w:ilvl="2" w:tplc="923CAEBE" w:tentative="1">
      <w:start w:val="1"/>
      <w:numFmt w:val="lowerRoman"/>
      <w:lvlText w:val="%3."/>
      <w:lvlJc w:val="right"/>
      <w:pPr>
        <w:ind w:left="2160" w:hanging="180"/>
      </w:pPr>
    </w:lvl>
    <w:lvl w:ilvl="3" w:tplc="2B1AEB6E" w:tentative="1">
      <w:start w:val="1"/>
      <w:numFmt w:val="decimal"/>
      <w:lvlText w:val="%4."/>
      <w:lvlJc w:val="left"/>
      <w:pPr>
        <w:ind w:left="2880" w:hanging="360"/>
      </w:pPr>
    </w:lvl>
    <w:lvl w:ilvl="4" w:tplc="9916470E" w:tentative="1">
      <w:start w:val="1"/>
      <w:numFmt w:val="lowerLetter"/>
      <w:lvlText w:val="%5."/>
      <w:lvlJc w:val="left"/>
      <w:pPr>
        <w:ind w:left="3600" w:hanging="360"/>
      </w:pPr>
    </w:lvl>
    <w:lvl w:ilvl="5" w:tplc="655879CA" w:tentative="1">
      <w:start w:val="1"/>
      <w:numFmt w:val="lowerRoman"/>
      <w:lvlText w:val="%6."/>
      <w:lvlJc w:val="right"/>
      <w:pPr>
        <w:ind w:left="4320" w:hanging="180"/>
      </w:pPr>
    </w:lvl>
    <w:lvl w:ilvl="6" w:tplc="CBF02FB4" w:tentative="1">
      <w:start w:val="1"/>
      <w:numFmt w:val="decimal"/>
      <w:lvlText w:val="%7."/>
      <w:lvlJc w:val="left"/>
      <w:pPr>
        <w:ind w:left="5040" w:hanging="360"/>
      </w:pPr>
    </w:lvl>
    <w:lvl w:ilvl="7" w:tplc="53622908" w:tentative="1">
      <w:start w:val="1"/>
      <w:numFmt w:val="lowerLetter"/>
      <w:lvlText w:val="%8."/>
      <w:lvlJc w:val="left"/>
      <w:pPr>
        <w:ind w:left="5760" w:hanging="360"/>
      </w:pPr>
    </w:lvl>
    <w:lvl w:ilvl="8" w:tplc="87707244" w:tentative="1">
      <w:start w:val="1"/>
      <w:numFmt w:val="lowerRoman"/>
      <w:lvlText w:val="%9."/>
      <w:lvlJc w:val="right"/>
      <w:pPr>
        <w:ind w:left="6480" w:hanging="180"/>
      </w:pPr>
    </w:lvl>
  </w:abstractNum>
  <w:abstractNum w:abstractNumId="2" w15:restartNumberingAfterBreak="0">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B5E5FC4"/>
    <w:multiLevelType w:val="hybridMultilevel"/>
    <w:tmpl w:val="332EE818"/>
    <w:lvl w:ilvl="0" w:tplc="F74A67AE">
      <w:start w:val="11"/>
      <w:numFmt w:val="bullet"/>
      <w:lvlText w:val="-"/>
      <w:lvlJc w:val="left"/>
      <w:pPr>
        <w:ind w:left="1140" w:hanging="360"/>
      </w:pPr>
      <w:rPr>
        <w:rFonts w:ascii="Times New Roman" w:eastAsiaTheme="minorHAnsi" w:hAnsi="Times New Roman" w:cs="Times New Roman" w:hint="default"/>
      </w:rPr>
    </w:lvl>
    <w:lvl w:ilvl="1" w:tplc="0C28E0D8" w:tentative="1">
      <w:start w:val="1"/>
      <w:numFmt w:val="bullet"/>
      <w:lvlText w:val="o"/>
      <w:lvlJc w:val="left"/>
      <w:pPr>
        <w:ind w:left="1860" w:hanging="360"/>
      </w:pPr>
      <w:rPr>
        <w:rFonts w:ascii="Courier New" w:hAnsi="Courier New" w:cs="Courier New" w:hint="default"/>
      </w:rPr>
    </w:lvl>
    <w:lvl w:ilvl="2" w:tplc="784C5696" w:tentative="1">
      <w:start w:val="1"/>
      <w:numFmt w:val="bullet"/>
      <w:lvlText w:val=""/>
      <w:lvlJc w:val="left"/>
      <w:pPr>
        <w:ind w:left="2580" w:hanging="360"/>
      </w:pPr>
      <w:rPr>
        <w:rFonts w:ascii="Wingdings" w:hAnsi="Wingdings" w:hint="default"/>
      </w:rPr>
    </w:lvl>
    <w:lvl w:ilvl="3" w:tplc="16FE5806" w:tentative="1">
      <w:start w:val="1"/>
      <w:numFmt w:val="bullet"/>
      <w:lvlText w:val=""/>
      <w:lvlJc w:val="left"/>
      <w:pPr>
        <w:ind w:left="3300" w:hanging="360"/>
      </w:pPr>
      <w:rPr>
        <w:rFonts w:ascii="Symbol" w:hAnsi="Symbol" w:hint="default"/>
      </w:rPr>
    </w:lvl>
    <w:lvl w:ilvl="4" w:tplc="5B2AE7D0" w:tentative="1">
      <w:start w:val="1"/>
      <w:numFmt w:val="bullet"/>
      <w:lvlText w:val="o"/>
      <w:lvlJc w:val="left"/>
      <w:pPr>
        <w:ind w:left="4020" w:hanging="360"/>
      </w:pPr>
      <w:rPr>
        <w:rFonts w:ascii="Courier New" w:hAnsi="Courier New" w:cs="Courier New" w:hint="default"/>
      </w:rPr>
    </w:lvl>
    <w:lvl w:ilvl="5" w:tplc="B18A951E" w:tentative="1">
      <w:start w:val="1"/>
      <w:numFmt w:val="bullet"/>
      <w:lvlText w:val=""/>
      <w:lvlJc w:val="left"/>
      <w:pPr>
        <w:ind w:left="4740" w:hanging="360"/>
      </w:pPr>
      <w:rPr>
        <w:rFonts w:ascii="Wingdings" w:hAnsi="Wingdings" w:hint="default"/>
      </w:rPr>
    </w:lvl>
    <w:lvl w:ilvl="6" w:tplc="0AE40886" w:tentative="1">
      <w:start w:val="1"/>
      <w:numFmt w:val="bullet"/>
      <w:lvlText w:val=""/>
      <w:lvlJc w:val="left"/>
      <w:pPr>
        <w:ind w:left="5460" w:hanging="360"/>
      </w:pPr>
      <w:rPr>
        <w:rFonts w:ascii="Symbol" w:hAnsi="Symbol" w:hint="default"/>
      </w:rPr>
    </w:lvl>
    <w:lvl w:ilvl="7" w:tplc="62A014F0" w:tentative="1">
      <w:start w:val="1"/>
      <w:numFmt w:val="bullet"/>
      <w:lvlText w:val="o"/>
      <w:lvlJc w:val="left"/>
      <w:pPr>
        <w:ind w:left="6180" w:hanging="360"/>
      </w:pPr>
      <w:rPr>
        <w:rFonts w:ascii="Courier New" w:hAnsi="Courier New" w:cs="Courier New" w:hint="default"/>
      </w:rPr>
    </w:lvl>
    <w:lvl w:ilvl="8" w:tplc="AF90D1EA" w:tentative="1">
      <w:start w:val="1"/>
      <w:numFmt w:val="bullet"/>
      <w:lvlText w:val=""/>
      <w:lvlJc w:val="left"/>
      <w:pPr>
        <w:ind w:left="6900" w:hanging="360"/>
      </w:pPr>
      <w:rPr>
        <w:rFonts w:ascii="Wingdings" w:hAnsi="Wingdings" w:hint="default"/>
      </w:rPr>
    </w:lvl>
  </w:abstractNum>
  <w:abstractNum w:abstractNumId="5" w15:restartNumberingAfterBreak="0">
    <w:nsid w:val="3A3A0F9E"/>
    <w:multiLevelType w:val="hybridMultilevel"/>
    <w:tmpl w:val="7E1C885A"/>
    <w:lvl w:ilvl="0" w:tplc="17CA283C">
      <w:start w:val="1"/>
      <w:numFmt w:val="decimal"/>
      <w:lvlText w:val="%1)"/>
      <w:lvlJc w:val="left"/>
      <w:pPr>
        <w:ind w:left="720" w:hanging="360"/>
      </w:pPr>
      <w:rPr>
        <w:rFonts w:hint="default"/>
      </w:rPr>
    </w:lvl>
    <w:lvl w:ilvl="1" w:tplc="12D23F7C">
      <w:start w:val="1"/>
      <w:numFmt w:val="lowerLetter"/>
      <w:lvlText w:val="%2."/>
      <w:lvlJc w:val="left"/>
      <w:pPr>
        <w:ind w:left="1440" w:hanging="360"/>
      </w:pPr>
    </w:lvl>
    <w:lvl w:ilvl="2" w:tplc="F384D2DE" w:tentative="1">
      <w:start w:val="1"/>
      <w:numFmt w:val="lowerRoman"/>
      <w:lvlText w:val="%3."/>
      <w:lvlJc w:val="right"/>
      <w:pPr>
        <w:ind w:left="2160" w:hanging="180"/>
      </w:pPr>
    </w:lvl>
    <w:lvl w:ilvl="3" w:tplc="0C80E594" w:tentative="1">
      <w:start w:val="1"/>
      <w:numFmt w:val="decimal"/>
      <w:lvlText w:val="%4."/>
      <w:lvlJc w:val="left"/>
      <w:pPr>
        <w:ind w:left="2880" w:hanging="360"/>
      </w:pPr>
    </w:lvl>
    <w:lvl w:ilvl="4" w:tplc="072C94F8" w:tentative="1">
      <w:start w:val="1"/>
      <w:numFmt w:val="lowerLetter"/>
      <w:lvlText w:val="%5."/>
      <w:lvlJc w:val="left"/>
      <w:pPr>
        <w:ind w:left="3600" w:hanging="360"/>
      </w:pPr>
    </w:lvl>
    <w:lvl w:ilvl="5" w:tplc="827097D0" w:tentative="1">
      <w:start w:val="1"/>
      <w:numFmt w:val="lowerRoman"/>
      <w:lvlText w:val="%6."/>
      <w:lvlJc w:val="right"/>
      <w:pPr>
        <w:ind w:left="4320" w:hanging="180"/>
      </w:pPr>
    </w:lvl>
    <w:lvl w:ilvl="6" w:tplc="83247E9E" w:tentative="1">
      <w:start w:val="1"/>
      <w:numFmt w:val="decimal"/>
      <w:lvlText w:val="%7."/>
      <w:lvlJc w:val="left"/>
      <w:pPr>
        <w:ind w:left="5040" w:hanging="360"/>
      </w:pPr>
    </w:lvl>
    <w:lvl w:ilvl="7" w:tplc="D4CE8C0A" w:tentative="1">
      <w:start w:val="1"/>
      <w:numFmt w:val="lowerLetter"/>
      <w:lvlText w:val="%8."/>
      <w:lvlJc w:val="left"/>
      <w:pPr>
        <w:ind w:left="5760" w:hanging="360"/>
      </w:pPr>
    </w:lvl>
    <w:lvl w:ilvl="8" w:tplc="0178C904" w:tentative="1">
      <w:start w:val="1"/>
      <w:numFmt w:val="lowerRoman"/>
      <w:lvlText w:val="%9."/>
      <w:lvlJc w:val="right"/>
      <w:pPr>
        <w:ind w:left="6480" w:hanging="180"/>
      </w:pPr>
    </w:lvl>
  </w:abstractNum>
  <w:abstractNum w:abstractNumId="6" w15:restartNumberingAfterBreak="0">
    <w:nsid w:val="3FA970CF"/>
    <w:multiLevelType w:val="multilevel"/>
    <w:tmpl w:val="E54EA16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83F5155"/>
    <w:multiLevelType w:val="hybridMultilevel"/>
    <w:tmpl w:val="3CF6220E"/>
    <w:lvl w:ilvl="0" w:tplc="C76E7DFC">
      <w:start w:val="1"/>
      <w:numFmt w:val="decimal"/>
      <w:lvlText w:val="%1)"/>
      <w:lvlJc w:val="left"/>
      <w:pPr>
        <w:ind w:left="720" w:hanging="360"/>
      </w:pPr>
      <w:rPr>
        <w:rFonts w:hint="default"/>
      </w:rPr>
    </w:lvl>
    <w:lvl w:ilvl="1" w:tplc="D0A610EE" w:tentative="1">
      <w:start w:val="1"/>
      <w:numFmt w:val="lowerLetter"/>
      <w:lvlText w:val="%2."/>
      <w:lvlJc w:val="left"/>
      <w:pPr>
        <w:ind w:left="1440" w:hanging="360"/>
      </w:pPr>
    </w:lvl>
    <w:lvl w:ilvl="2" w:tplc="F9A0107C" w:tentative="1">
      <w:start w:val="1"/>
      <w:numFmt w:val="lowerRoman"/>
      <w:lvlText w:val="%3."/>
      <w:lvlJc w:val="right"/>
      <w:pPr>
        <w:ind w:left="2160" w:hanging="180"/>
      </w:pPr>
    </w:lvl>
    <w:lvl w:ilvl="3" w:tplc="A9DCF070" w:tentative="1">
      <w:start w:val="1"/>
      <w:numFmt w:val="decimal"/>
      <w:lvlText w:val="%4."/>
      <w:lvlJc w:val="left"/>
      <w:pPr>
        <w:ind w:left="2880" w:hanging="360"/>
      </w:pPr>
    </w:lvl>
    <w:lvl w:ilvl="4" w:tplc="9EF6C54C" w:tentative="1">
      <w:start w:val="1"/>
      <w:numFmt w:val="lowerLetter"/>
      <w:lvlText w:val="%5."/>
      <w:lvlJc w:val="left"/>
      <w:pPr>
        <w:ind w:left="3600" w:hanging="360"/>
      </w:pPr>
    </w:lvl>
    <w:lvl w:ilvl="5" w:tplc="695A2026" w:tentative="1">
      <w:start w:val="1"/>
      <w:numFmt w:val="lowerRoman"/>
      <w:lvlText w:val="%6."/>
      <w:lvlJc w:val="right"/>
      <w:pPr>
        <w:ind w:left="4320" w:hanging="180"/>
      </w:pPr>
    </w:lvl>
    <w:lvl w:ilvl="6" w:tplc="C78E4E0C" w:tentative="1">
      <w:start w:val="1"/>
      <w:numFmt w:val="decimal"/>
      <w:lvlText w:val="%7."/>
      <w:lvlJc w:val="left"/>
      <w:pPr>
        <w:ind w:left="5040" w:hanging="360"/>
      </w:pPr>
    </w:lvl>
    <w:lvl w:ilvl="7" w:tplc="82F6809C" w:tentative="1">
      <w:start w:val="1"/>
      <w:numFmt w:val="lowerLetter"/>
      <w:lvlText w:val="%8."/>
      <w:lvlJc w:val="left"/>
      <w:pPr>
        <w:ind w:left="5760" w:hanging="360"/>
      </w:pPr>
    </w:lvl>
    <w:lvl w:ilvl="8" w:tplc="83EC8DF6" w:tentative="1">
      <w:start w:val="1"/>
      <w:numFmt w:val="lowerRoman"/>
      <w:lvlText w:val="%9."/>
      <w:lvlJc w:val="right"/>
      <w:pPr>
        <w:ind w:left="6480" w:hanging="180"/>
      </w:pPr>
    </w:lvl>
  </w:abstractNum>
  <w:abstractNum w:abstractNumId="8" w15:restartNumberingAfterBreak="0">
    <w:nsid w:val="496B4342"/>
    <w:multiLevelType w:val="multilevel"/>
    <w:tmpl w:val="E6A878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2D110E2"/>
    <w:multiLevelType w:val="multilevel"/>
    <w:tmpl w:val="C336702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76917AE4"/>
    <w:multiLevelType w:val="multilevel"/>
    <w:tmpl w:val="8F122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FAA6498"/>
    <w:multiLevelType w:val="multilevel"/>
    <w:tmpl w:val="EF841E2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4"/>
  </w:num>
  <w:num w:numId="2">
    <w:abstractNumId w:val="1"/>
  </w:num>
  <w:num w:numId="3">
    <w:abstractNumId w:val="0"/>
  </w:num>
  <w:num w:numId="4">
    <w:abstractNumId w:val="5"/>
  </w:num>
  <w:num w:numId="5">
    <w:abstractNumId w:val="7"/>
  </w:num>
  <w:num w:numId="6">
    <w:abstractNumId w:val="10"/>
  </w:num>
  <w:num w:numId="7">
    <w:abstractNumId w:val="6"/>
  </w:num>
  <w:num w:numId="8">
    <w:abstractNumId w:val="9"/>
  </w:num>
  <w:num w:numId="9">
    <w:abstractNumId w:val="11"/>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0E"/>
    <w:rsid w:val="0004206F"/>
    <w:rsid w:val="00063F36"/>
    <w:rsid w:val="0006593B"/>
    <w:rsid w:val="00094948"/>
    <w:rsid w:val="000A35A2"/>
    <w:rsid w:val="000B0B3B"/>
    <w:rsid w:val="000D1112"/>
    <w:rsid w:val="000D5453"/>
    <w:rsid w:val="000D61AD"/>
    <w:rsid w:val="000D7658"/>
    <w:rsid w:val="00102AE2"/>
    <w:rsid w:val="00111207"/>
    <w:rsid w:val="0011123C"/>
    <w:rsid w:val="00122F7B"/>
    <w:rsid w:val="001621BE"/>
    <w:rsid w:val="001657E4"/>
    <w:rsid w:val="00185B84"/>
    <w:rsid w:val="001875FA"/>
    <w:rsid w:val="00196810"/>
    <w:rsid w:val="001B1463"/>
    <w:rsid w:val="001B4C11"/>
    <w:rsid w:val="001C0A8F"/>
    <w:rsid w:val="001C28F4"/>
    <w:rsid w:val="001C53E9"/>
    <w:rsid w:val="001F3B99"/>
    <w:rsid w:val="001F5560"/>
    <w:rsid w:val="002054BF"/>
    <w:rsid w:val="0022150E"/>
    <w:rsid w:val="002219E4"/>
    <w:rsid w:val="00221D03"/>
    <w:rsid w:val="00247AA1"/>
    <w:rsid w:val="00253D9A"/>
    <w:rsid w:val="00265402"/>
    <w:rsid w:val="00274529"/>
    <w:rsid w:val="0028622C"/>
    <w:rsid w:val="00287A5C"/>
    <w:rsid w:val="002A3CB9"/>
    <w:rsid w:val="002E3856"/>
    <w:rsid w:val="002F60E1"/>
    <w:rsid w:val="00307425"/>
    <w:rsid w:val="00317313"/>
    <w:rsid w:val="00325D04"/>
    <w:rsid w:val="00327BC6"/>
    <w:rsid w:val="00330239"/>
    <w:rsid w:val="00335AE4"/>
    <w:rsid w:val="00335B9B"/>
    <w:rsid w:val="00352FA5"/>
    <w:rsid w:val="00354E58"/>
    <w:rsid w:val="00381BD8"/>
    <w:rsid w:val="00381DAB"/>
    <w:rsid w:val="003A4B01"/>
    <w:rsid w:val="003B670E"/>
    <w:rsid w:val="003B7295"/>
    <w:rsid w:val="003C7BC9"/>
    <w:rsid w:val="003D278D"/>
    <w:rsid w:val="003D3A4B"/>
    <w:rsid w:val="003D5640"/>
    <w:rsid w:val="003D71F6"/>
    <w:rsid w:val="003F16E5"/>
    <w:rsid w:val="0040067D"/>
    <w:rsid w:val="00401EF8"/>
    <w:rsid w:val="00414BE9"/>
    <w:rsid w:val="0043452F"/>
    <w:rsid w:val="00441218"/>
    <w:rsid w:val="00455EF0"/>
    <w:rsid w:val="004806D3"/>
    <w:rsid w:val="004929B6"/>
    <w:rsid w:val="00494922"/>
    <w:rsid w:val="00507B41"/>
    <w:rsid w:val="00524B81"/>
    <w:rsid w:val="00527A18"/>
    <w:rsid w:val="00543FAB"/>
    <w:rsid w:val="005461FB"/>
    <w:rsid w:val="00556263"/>
    <w:rsid w:val="00563E42"/>
    <w:rsid w:val="005708E4"/>
    <w:rsid w:val="00575785"/>
    <w:rsid w:val="00586547"/>
    <w:rsid w:val="00591BB3"/>
    <w:rsid w:val="005A057A"/>
    <w:rsid w:val="005B56FA"/>
    <w:rsid w:val="005D3009"/>
    <w:rsid w:val="005D4293"/>
    <w:rsid w:val="005E1636"/>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356EE"/>
    <w:rsid w:val="00743123"/>
    <w:rsid w:val="00745038"/>
    <w:rsid w:val="0075164F"/>
    <w:rsid w:val="007527A8"/>
    <w:rsid w:val="007662F4"/>
    <w:rsid w:val="00791180"/>
    <w:rsid w:val="007C10D5"/>
    <w:rsid w:val="007E674A"/>
    <w:rsid w:val="007F5B04"/>
    <w:rsid w:val="00814A77"/>
    <w:rsid w:val="00817095"/>
    <w:rsid w:val="00830557"/>
    <w:rsid w:val="008505AE"/>
    <w:rsid w:val="0086136F"/>
    <w:rsid w:val="00863892"/>
    <w:rsid w:val="008A334B"/>
    <w:rsid w:val="008B5BE6"/>
    <w:rsid w:val="008B6728"/>
    <w:rsid w:val="008C0E43"/>
    <w:rsid w:val="008D23B5"/>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4D4B"/>
    <w:rsid w:val="00A86350"/>
    <w:rsid w:val="00A87C79"/>
    <w:rsid w:val="00A97976"/>
    <w:rsid w:val="00AA0C3F"/>
    <w:rsid w:val="00AA5183"/>
    <w:rsid w:val="00AD31B8"/>
    <w:rsid w:val="00AD4AC3"/>
    <w:rsid w:val="00AD50F9"/>
    <w:rsid w:val="00B33A89"/>
    <w:rsid w:val="00B4143B"/>
    <w:rsid w:val="00B60DE1"/>
    <w:rsid w:val="00B66359"/>
    <w:rsid w:val="00B7419D"/>
    <w:rsid w:val="00B76469"/>
    <w:rsid w:val="00B909FA"/>
    <w:rsid w:val="00B950D5"/>
    <w:rsid w:val="00B96783"/>
    <w:rsid w:val="00BA7C19"/>
    <w:rsid w:val="00BC09EB"/>
    <w:rsid w:val="00BD0542"/>
    <w:rsid w:val="00BE0FA1"/>
    <w:rsid w:val="00BE60D4"/>
    <w:rsid w:val="00C43BA6"/>
    <w:rsid w:val="00C81589"/>
    <w:rsid w:val="00C965A3"/>
    <w:rsid w:val="00CA0922"/>
    <w:rsid w:val="00CC0858"/>
    <w:rsid w:val="00CC626C"/>
    <w:rsid w:val="00CE53DC"/>
    <w:rsid w:val="00CE77DE"/>
    <w:rsid w:val="00CF75AC"/>
    <w:rsid w:val="00D02FF9"/>
    <w:rsid w:val="00D05BB1"/>
    <w:rsid w:val="00D0772B"/>
    <w:rsid w:val="00D105E4"/>
    <w:rsid w:val="00D57C01"/>
    <w:rsid w:val="00D6758D"/>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F3AF9"/>
    <w:rsid w:val="00F05325"/>
    <w:rsid w:val="00F159EB"/>
    <w:rsid w:val="00F31DB1"/>
    <w:rsid w:val="00F609D0"/>
    <w:rsid w:val="00F86921"/>
    <w:rsid w:val="00F95D45"/>
    <w:rsid w:val="00FA69CC"/>
    <w:rsid w:val="00FB2847"/>
    <w:rsid w:val="00FB627E"/>
    <w:rsid w:val="00FE036B"/>
    <w:rsid w:val="00FE5521"/>
    <w:rsid w:val="00FE6A3E"/>
    <w:rsid w:val="00FF0123"/>
    <w:rsid w:val="00FF2385"/>
    <w:rsid w:val="00FF549E"/>
    <w:rsid w:val="00FF6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7A8"/>
    <w:pPr>
      <w:spacing w:after="200" w:line="276" w:lineRule="auto"/>
      <w:ind w:left="720" w:right="0"/>
      <w:contextualSpacing/>
      <w:jc w:val="left"/>
    </w:pPr>
    <w:rPr>
      <w:rFonts w:asciiTheme="minorHAnsi" w:hAnsiTheme="minorHAnsi"/>
      <w:sz w:val="22"/>
    </w:rPr>
  </w:style>
  <w:style w:type="paragraph" w:styleId="Vresteksts">
    <w:name w:val="footnote text"/>
    <w:basedOn w:val="Parasts"/>
    <w:link w:val="VrestekstsRakstz"/>
    <w:uiPriority w:val="99"/>
    <w:semiHidden/>
    <w:unhideWhenUsed/>
    <w:rsid w:val="007527A8"/>
    <w:pPr>
      <w:ind w:right="0"/>
      <w:jc w:val="left"/>
    </w:pPr>
    <w:rPr>
      <w:rFonts w:asciiTheme="minorHAnsi" w:hAnsiTheme="minorHAnsi"/>
      <w:sz w:val="20"/>
      <w:szCs w:val="20"/>
    </w:rPr>
  </w:style>
  <w:style w:type="character" w:customStyle="1" w:styleId="VrestekstsRakstz">
    <w:name w:val="Vēres teksts Rakstz."/>
    <w:basedOn w:val="Noklusjumarindkopasfonts"/>
    <w:link w:val="Vresteksts"/>
    <w:uiPriority w:val="99"/>
    <w:semiHidden/>
    <w:rsid w:val="007527A8"/>
    <w:rPr>
      <w:rFonts w:asciiTheme="minorHAnsi" w:hAnsiTheme="minorHAnsi"/>
      <w:sz w:val="20"/>
      <w:szCs w:val="20"/>
    </w:rPr>
  </w:style>
  <w:style w:type="character" w:styleId="Vresatsauce">
    <w:name w:val="footnote reference"/>
    <w:basedOn w:val="Noklusjumarindkopasfonts"/>
    <w:uiPriority w:val="99"/>
    <w:semiHidden/>
    <w:unhideWhenUsed/>
    <w:rsid w:val="007527A8"/>
    <w:rPr>
      <w:vertAlign w:val="superscript"/>
    </w:rPr>
  </w:style>
  <w:style w:type="paragraph" w:styleId="Bezatstarpm">
    <w:name w:val="No Spacing"/>
    <w:uiPriority w:val="1"/>
    <w:qFormat/>
    <w:rsid w:val="00A30BA3"/>
  </w:style>
  <w:style w:type="character" w:customStyle="1" w:styleId="multiline">
    <w:name w:val="multiline"/>
    <w:basedOn w:val="Noklusjumarindkopasfonts"/>
    <w:rsid w:val="003B7295"/>
  </w:style>
  <w:style w:type="paragraph" w:styleId="Balonteksts">
    <w:name w:val="Balloon Text"/>
    <w:basedOn w:val="Parasts"/>
    <w:link w:val="BalontekstsRakstz"/>
    <w:uiPriority w:val="99"/>
    <w:semiHidden/>
    <w:unhideWhenUsed/>
    <w:rsid w:val="000A35A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5A2"/>
    <w:rPr>
      <w:rFonts w:ascii="Segoe UI" w:hAnsi="Segoe UI" w:cs="Segoe UI"/>
      <w:sz w:val="18"/>
      <w:szCs w:val="18"/>
    </w:rPr>
  </w:style>
  <w:style w:type="paragraph" w:styleId="Galvene">
    <w:name w:val="header"/>
    <w:basedOn w:val="Parasts"/>
    <w:link w:val="GalveneRakstz"/>
    <w:uiPriority w:val="99"/>
    <w:unhideWhenUsed/>
    <w:rsid w:val="0004206F"/>
    <w:pPr>
      <w:tabs>
        <w:tab w:val="center" w:pos="4153"/>
        <w:tab w:val="right" w:pos="8306"/>
      </w:tabs>
    </w:pPr>
  </w:style>
  <w:style w:type="character" w:customStyle="1" w:styleId="GalveneRakstz">
    <w:name w:val="Galvene Rakstz."/>
    <w:basedOn w:val="Noklusjumarindkopasfonts"/>
    <w:link w:val="Galvene"/>
    <w:uiPriority w:val="99"/>
    <w:rsid w:val="0004206F"/>
  </w:style>
  <w:style w:type="paragraph" w:styleId="Kjene">
    <w:name w:val="footer"/>
    <w:basedOn w:val="Parasts"/>
    <w:link w:val="KjeneRakstz"/>
    <w:uiPriority w:val="99"/>
    <w:unhideWhenUsed/>
    <w:rsid w:val="0004206F"/>
    <w:pPr>
      <w:tabs>
        <w:tab w:val="center" w:pos="4153"/>
        <w:tab w:val="right" w:pos="8306"/>
      </w:tabs>
    </w:pPr>
  </w:style>
  <w:style w:type="character" w:customStyle="1" w:styleId="KjeneRakstz">
    <w:name w:val="Kājene Rakstz."/>
    <w:basedOn w:val="Noklusjumarindkopasfonts"/>
    <w:link w:val="Kjene"/>
    <w:uiPriority w:val="99"/>
    <w:rsid w:val="0004206F"/>
  </w:style>
  <w:style w:type="character" w:styleId="Hipersaite">
    <w:name w:val="Hyperlink"/>
    <w:basedOn w:val="Noklusjumarindkopasfonts"/>
    <w:uiPriority w:val="99"/>
    <w:unhideWhenUsed/>
    <w:rsid w:val="009154FC"/>
    <w:rPr>
      <w:color w:val="0563C1" w:themeColor="hyperlink"/>
      <w:u w:val="single"/>
    </w:rPr>
  </w:style>
  <w:style w:type="character" w:customStyle="1" w:styleId="Neatrisintapieminana1">
    <w:name w:val="Neatrisināta pieminēšana1"/>
    <w:basedOn w:val="Noklusjumarindkopasfonts"/>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2EC-C047-4BD6-A0F3-3F3A7BFE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2877</Words>
  <Characters>1640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Marita</cp:lastModifiedBy>
  <cp:revision>2</cp:revision>
  <cp:lastPrinted>2024-08-29T05:26:00Z</cp:lastPrinted>
  <dcterms:created xsi:type="dcterms:W3CDTF">2024-11-08T10:53:00Z</dcterms:created>
  <dcterms:modified xsi:type="dcterms:W3CDTF">2024-11-08T10:53:00Z</dcterms:modified>
</cp:coreProperties>
</file>